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613"/>
      </w:tblGrid>
      <w:tr w:rsidR="00D11484" w:rsidRPr="005743A4" w:rsidTr="005743A4">
        <w:tc>
          <w:tcPr>
            <w:tcW w:w="8613" w:type="dxa"/>
            <w:shd w:val="clear" w:color="auto" w:fill="auto"/>
          </w:tcPr>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ADITIVO AO</w:t>
            </w:r>
          </w:p>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ACORDO DE COOPERAÇÃO</w:t>
            </w:r>
          </w:p>
          <w:p w:rsidR="00D11484" w:rsidRPr="005743A4" w:rsidRDefault="00D11484" w:rsidP="005743A4">
            <w:pPr>
              <w:spacing w:after="0" w:line="360" w:lineRule="auto"/>
              <w:jc w:val="center"/>
              <w:rPr>
                <w:rFonts w:ascii="Times New Roman" w:hAnsi="Times New Roman"/>
                <w:b/>
              </w:rPr>
            </w:pPr>
            <w:r w:rsidRPr="005743A4">
              <w:rPr>
                <w:rFonts w:ascii="Times New Roman" w:hAnsi="Times New Roman"/>
                <w:b/>
              </w:rPr>
              <w:t>Entre a</w:t>
            </w:r>
          </w:p>
          <w:p w:rsidR="00D11484" w:rsidRPr="005743A4" w:rsidRDefault="00D11484" w:rsidP="005743A4">
            <w:pPr>
              <w:spacing w:after="0" w:line="360" w:lineRule="auto"/>
              <w:jc w:val="center"/>
              <w:rPr>
                <w:rFonts w:ascii="Times New Roman" w:hAnsi="Times New Roman"/>
                <w:b/>
                <w:shd w:val="clear" w:color="auto" w:fill="FFFF00"/>
              </w:rPr>
            </w:pPr>
            <w:r w:rsidRPr="005743A4">
              <w:rPr>
                <w:rFonts w:ascii="Times New Roman" w:hAnsi="Times New Roman"/>
                <w:b/>
              </w:rPr>
              <w:t xml:space="preserve">Universidade Federal do ABC e a </w:t>
            </w:r>
            <w:proofErr w:type="spellStart"/>
            <w:r w:rsidRPr="005743A4">
              <w:rPr>
                <w:rFonts w:ascii="Times New Roman" w:hAnsi="Times New Roman"/>
                <w:b/>
                <w:i/>
                <w:highlight w:val="lightGray"/>
              </w:rPr>
              <w:t>University</w:t>
            </w:r>
            <w:proofErr w:type="spellEnd"/>
            <w:r w:rsidRPr="005743A4">
              <w:rPr>
                <w:rFonts w:ascii="Times New Roman" w:hAnsi="Times New Roman"/>
                <w:b/>
                <w:i/>
                <w:highlight w:val="lightGray"/>
              </w:rPr>
              <w:t xml:space="preserve"> nome da universidade</w:t>
            </w:r>
          </w:p>
          <w:p w:rsidR="00D11484" w:rsidRPr="005743A4" w:rsidRDefault="00D11484" w:rsidP="005743A4">
            <w:pPr>
              <w:spacing w:after="0" w:line="360" w:lineRule="auto"/>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rPr>
              <w:t xml:space="preserve">A Universidade Federal do ABC - UFABC, localizada na Avenida dos Estados, 5001, Bairro Santa Teresinha, CEP 09210-580, Santo André, São Paulo, Brasil, sob CNPJ nº. 07.722.779/0001-06, representada pelo seu Reitor </w:t>
            </w:r>
            <w:proofErr w:type="spellStart"/>
            <w:r w:rsidR="00D07EDE">
              <w:rPr>
                <w:rFonts w:ascii="Times New Roman" w:hAnsi="Times New Roman"/>
              </w:rPr>
              <w:t>Dácio</w:t>
            </w:r>
            <w:proofErr w:type="spellEnd"/>
            <w:r w:rsidR="00D07EDE">
              <w:rPr>
                <w:rFonts w:ascii="Times New Roman" w:hAnsi="Times New Roman"/>
              </w:rPr>
              <w:t xml:space="preserve"> Roberto Matheus</w:t>
            </w:r>
            <w:r w:rsidRPr="005743A4">
              <w:rPr>
                <w:rStyle w:val="Forte"/>
                <w:rFonts w:ascii="Times New Roman" w:hAnsi="Times New Roman"/>
              </w:rPr>
              <w:t xml:space="preserve">, </w:t>
            </w:r>
            <w:r w:rsidRPr="005743A4">
              <w:rPr>
                <w:rStyle w:val="Forte"/>
                <w:rFonts w:ascii="Times New Roman" w:hAnsi="Times New Roman"/>
                <w:b w:val="0"/>
              </w:rPr>
              <w:t xml:space="preserve">e a </w:t>
            </w:r>
            <w:proofErr w:type="spellStart"/>
            <w:r w:rsidRPr="005743A4">
              <w:rPr>
                <w:rFonts w:ascii="Times New Roman" w:hAnsi="Times New Roman"/>
                <w:highlight w:val="lightGray"/>
              </w:rPr>
              <w:t>University</w:t>
            </w:r>
            <w:proofErr w:type="spellEnd"/>
            <w:r w:rsidRPr="005743A4">
              <w:rPr>
                <w:rFonts w:ascii="Times New Roman" w:hAnsi="Times New Roman"/>
                <w:highlight w:val="lightGray"/>
              </w:rPr>
              <w:t xml:space="preserve"> </w:t>
            </w:r>
            <w:r w:rsidRPr="005743A4">
              <w:rPr>
                <w:rFonts w:ascii="Times New Roman" w:hAnsi="Times New Roman"/>
                <w:b/>
                <w:i/>
                <w:highlight w:val="lightGray"/>
              </w:rPr>
              <w:t>nome da universidade</w:t>
            </w:r>
            <w:r w:rsidRPr="005743A4">
              <w:rPr>
                <w:rFonts w:ascii="Times New Roman" w:hAnsi="Times New Roman"/>
              </w:rPr>
              <w:t xml:space="preserve">, localizada em </w:t>
            </w:r>
            <w:r w:rsidRPr="005743A4">
              <w:rPr>
                <w:rFonts w:ascii="Times New Roman" w:hAnsi="Times New Roman"/>
                <w:highlight w:val="lightGray"/>
              </w:rPr>
              <w:t>endereço completo</w:t>
            </w:r>
            <w:r w:rsidRPr="005743A4">
              <w:rPr>
                <w:rFonts w:ascii="Times New Roman" w:hAnsi="Times New Roman"/>
              </w:rPr>
              <w:t xml:space="preserve">, representada pelo seu reitor, </w:t>
            </w:r>
            <w:r w:rsidRPr="005743A4">
              <w:rPr>
                <w:rFonts w:ascii="Times New Roman" w:hAnsi="Times New Roman"/>
                <w:highlight w:val="lightGray"/>
              </w:rPr>
              <w:t>nome do reitor</w:t>
            </w:r>
            <w:r w:rsidRPr="005743A4">
              <w:rPr>
                <w:rFonts w:ascii="Times New Roman" w:hAnsi="Times New Roman"/>
              </w:rPr>
              <w:t xml:space="preserve">, em reconhecimento de seus princípios e valores comuns de excelência acadêmica e responsabilidade social, ambas as instituições concordam em assinar o presente Aditivo ao Acordo de Cooperação, processo UFABC número </w:t>
            </w:r>
            <w:r w:rsidRPr="005743A4">
              <w:rPr>
                <w:rFonts w:ascii="Times New Roman" w:hAnsi="Times New Roman"/>
                <w:highlight w:val="lightGray"/>
              </w:rPr>
              <w:t>23006.00xxxx/201x-xx</w:t>
            </w:r>
            <w:r w:rsidRPr="005743A4">
              <w:rPr>
                <w:rFonts w:ascii="Times New Roman" w:hAnsi="Times New Roman"/>
              </w:rPr>
              <w:t>, em conformidade com a legislação vigente em seus respectivos países e normas de direito internacional, mediante as cláusulas seguintes:</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 – Objeto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 presente Aditivo tem como objetivo fundamental estabelecer os procedimentos, padrões e políticas para a mobilidade acadêmica estudantil entre as instituições.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2 – Premissa</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Cada uma das instituições reserva-se o direito de avaliar os processos de candidatura dos respectivos alunos, enquanto instituição de origem, e aprovar, enquanto instituição de destino, os candidatos propostos pela contraparte, que entenda preencherem os requisitos definidos no presente Aditivo.</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3 - Condições de candidatura</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Poderá candidatar-se, no âmbito deste Aditivo, o aluno regularmente matriculado na instituição de origem que:</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 Tenha frequentado, com aproveitamento satisfatório, entre 20% e 80% das disciplinas/créditos do curso em que se encontra matriculado;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Não seja devedor de quaisquer taxas ou encargos inerentes à matrícula;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lastRenderedPageBreak/>
              <w:t>c)</w:t>
            </w:r>
            <w:proofErr w:type="gramEnd"/>
            <w:r w:rsidRPr="005743A4">
              <w:rPr>
                <w:rFonts w:ascii="Times New Roman" w:hAnsi="Times New Roman"/>
              </w:rPr>
              <w:tab/>
              <w:t>Cumpra demais requisitos de curso, proficiência em idioma, disciplinas e outras exigências estabelecidas pela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b/>
              </w:rPr>
              <w:t>Cláusula 4 - Submissão de candidaturas</w:t>
            </w:r>
          </w:p>
          <w:p w:rsidR="00D11484" w:rsidRPr="005743A4" w:rsidRDefault="00D11484" w:rsidP="005743A4">
            <w:pPr>
              <w:spacing w:after="0" w:line="360" w:lineRule="auto"/>
              <w:jc w:val="both"/>
              <w:rPr>
                <w:rFonts w:ascii="Times New Roman" w:hAnsi="Times New Roman"/>
              </w:rPr>
            </w:pPr>
          </w:p>
          <w:p w:rsidR="00D11484" w:rsidRDefault="00D11484" w:rsidP="005743A4">
            <w:pPr>
              <w:spacing w:after="0" w:line="360" w:lineRule="auto"/>
              <w:jc w:val="both"/>
              <w:rPr>
                <w:rFonts w:ascii="Times New Roman" w:hAnsi="Times New Roman"/>
              </w:rPr>
            </w:pPr>
            <w:r w:rsidRPr="005743A4">
              <w:rPr>
                <w:rFonts w:ascii="Times New Roman" w:hAnsi="Times New Roman"/>
              </w:rPr>
              <w:t>As candidaturas deverão ser submetidas de acordo com calendário a ser definido anualmente pelas instituições envolvidas, de modo a garantir a coesão com o calendário acadêmico da instituição de destino.</w:t>
            </w:r>
          </w:p>
          <w:p w:rsidR="00031DDF" w:rsidRPr="005743A4" w:rsidRDefault="00031DDF"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5 - Duração da mobilidade</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Os estudantes serão aceitos na instituição de destino por um período não inferior a um mês e nem superior a um ano letivo, incluindo eventual período de estágio.</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6 - Número limite de alunos por ano letivo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rPr>
              <w:t xml:space="preserve">As partes comprometem-se a aceitar pelo menos </w:t>
            </w:r>
            <w:proofErr w:type="gramStart"/>
            <w:r w:rsidRPr="005743A4">
              <w:rPr>
                <w:rFonts w:ascii="Times New Roman" w:hAnsi="Times New Roman"/>
              </w:rPr>
              <w:t>4</w:t>
            </w:r>
            <w:proofErr w:type="gramEnd"/>
            <w:r w:rsidRPr="005743A4">
              <w:rPr>
                <w:rFonts w:ascii="Times New Roman" w:hAnsi="Times New Roman"/>
              </w:rPr>
              <w:t xml:space="preserve"> (quatro) estudantes por ano letivo, e procurarão equilibrar o fluxo de estudantes em três anos.</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b/>
              </w:rPr>
              <w:t>Cláusula 7 - Responsabilidades gerais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As instituições comprometem-se a:</w:t>
            </w:r>
          </w:p>
          <w:p w:rsidR="00D11484" w:rsidRPr="005743A4" w:rsidRDefault="00D11484" w:rsidP="005743A4">
            <w:pPr>
              <w:tabs>
                <w:tab w:val="left" w:pos="315"/>
              </w:tabs>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Realizar a mobilidade respeitando o número de estudantes que se estabeleçam em acordo mútuo, sem prejuízo do limite previsto na Cláusula 6;</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b) Isentar, na condição de instituição de destino, os alunos de intercâmbio do pagamento de taxas acadêmicas ou outros encargos referentes à matrícula ou anuidades, sem prejuízo ao pagamento regularmente efetuado à instituição de origem;</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c) Estabelecer em cada ano, por acordo mútuo, os cursos de destino para o intercâmbio dos estudantes;</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d) Reconhecer os créditos cursados na instituição de destino, desde que o aluno tenha obtido o aproveitamento mínimo necessário à aprovação;</w:t>
            </w:r>
          </w:p>
          <w:p w:rsidR="00D11484" w:rsidRPr="005743A4" w:rsidRDefault="00D11484" w:rsidP="005743A4">
            <w:pPr>
              <w:tabs>
                <w:tab w:val="left" w:pos="315"/>
              </w:tabs>
              <w:spacing w:after="0" w:line="360" w:lineRule="auto"/>
              <w:jc w:val="both"/>
              <w:rPr>
                <w:rFonts w:ascii="Times New Roman" w:hAnsi="Times New Roman"/>
              </w:rPr>
            </w:pPr>
            <w:r w:rsidRPr="005743A4">
              <w:rPr>
                <w:rFonts w:ascii="Times New Roman" w:hAnsi="Times New Roman"/>
              </w:rPr>
              <w:t>e) Informar imediatamente à instituição de origem sobre qualquer problema relacionado aos alunos que estejam em intercâmbio, seja de ordem acadêmica, disciplinar ou de saúde, respeitando sua privacidade e dignidade.</w:t>
            </w: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lastRenderedPageBreak/>
              <w:t>Cláusula 8 - Obrigações da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 instituição de destino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Enviar as cartas de aceitação necessárias para o trâmite dos vistos dos estudantes;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Informar e assessorar os estudantes sobre as condições de hospedagem e custos de vida;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Permitir, aos estudantes, o uso das instalações e serviços proporcionados ao corpo discente regularmente matriculado na instituição;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d)</w:t>
            </w:r>
            <w:proofErr w:type="gramEnd"/>
            <w:r w:rsidRPr="005743A4">
              <w:rPr>
                <w:rFonts w:ascii="Times New Roman" w:hAnsi="Times New Roman"/>
              </w:rPr>
              <w:tab/>
              <w:t>Designar, quando aplicável, um orientador/supervisor para os trabalhos ou projetos a serem desenvolvidos pelos estudantes;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9 - Obrigações da instituição de origem</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 instituição de origem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Selecionar os participantes mediante processo rigoroso, levando em conta seu desempenho acadêmico;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Enviar as solicitações de participação na data estabelecida pelo calendário da instituição de destino;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Auxiliar os estudantes na elaboração do plano de trabalho e seleção das disciplinas a serem cursadas na instituição de 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10 - Obrigações do estudante de intercâmbio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 estudante de intercâmbio compromete-se a:</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a</w:t>
            </w:r>
            <w:proofErr w:type="gramEnd"/>
            <w:r w:rsidRPr="005743A4">
              <w:rPr>
                <w:rFonts w:ascii="Times New Roman" w:hAnsi="Times New Roman"/>
              </w:rPr>
              <w:t>)</w:t>
            </w:r>
            <w:r w:rsidRPr="005743A4">
              <w:rPr>
                <w:rFonts w:ascii="Times New Roman" w:hAnsi="Times New Roman"/>
              </w:rPr>
              <w:tab/>
              <w:t>Responsabilizar-se pela obtenção de seu passaporte e visto de estudante;</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b)</w:t>
            </w:r>
            <w:proofErr w:type="gramEnd"/>
            <w:r w:rsidRPr="005743A4">
              <w:rPr>
                <w:rFonts w:ascii="Times New Roman" w:hAnsi="Times New Roman"/>
              </w:rPr>
              <w:tab/>
              <w:t>Contratar um seguro internacional que obedeça aos requisitos tanto do país quanto da instituição de destino, que deverá cobrir, no mínimo, despesas com assistência médica e acidentes pessoais;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c)</w:t>
            </w:r>
            <w:proofErr w:type="gramEnd"/>
            <w:r w:rsidRPr="005743A4">
              <w:rPr>
                <w:rFonts w:ascii="Times New Roman" w:hAnsi="Times New Roman"/>
              </w:rPr>
              <w:tab/>
              <w:t>Pagar as taxas devidas à instituição de origem;</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d)</w:t>
            </w:r>
            <w:proofErr w:type="gramEnd"/>
            <w:r w:rsidRPr="005743A4">
              <w:rPr>
                <w:rFonts w:ascii="Times New Roman" w:hAnsi="Times New Roman"/>
              </w:rPr>
              <w:tab/>
              <w:t>Responsabilizar-se pelos custos de deslocamento, alojamento, alimentação e demais despesas;</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e</w:t>
            </w:r>
            <w:proofErr w:type="gramEnd"/>
            <w:r w:rsidRPr="005743A4">
              <w:rPr>
                <w:rFonts w:ascii="Times New Roman" w:hAnsi="Times New Roman"/>
              </w:rPr>
              <w:t>)</w:t>
            </w:r>
            <w:r w:rsidRPr="005743A4">
              <w:rPr>
                <w:rFonts w:ascii="Times New Roman" w:hAnsi="Times New Roman"/>
              </w:rPr>
              <w:tab/>
              <w:t>Observar e respeitar a legislação e regimentos do país e da instituição de destino;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f)</w:t>
            </w:r>
            <w:proofErr w:type="gramEnd"/>
            <w:r w:rsidRPr="005743A4">
              <w:rPr>
                <w:rFonts w:ascii="Times New Roman" w:hAnsi="Times New Roman"/>
              </w:rPr>
              <w:tab/>
              <w:t>Frequentar as disciplinas previstas em seu plano de trabalho;</w:t>
            </w:r>
          </w:p>
          <w:p w:rsidR="00D11484" w:rsidRPr="005743A4" w:rsidRDefault="00D11484" w:rsidP="005743A4">
            <w:pPr>
              <w:spacing w:after="0" w:line="360" w:lineRule="auto"/>
              <w:jc w:val="both"/>
              <w:rPr>
                <w:rFonts w:ascii="Times New Roman" w:hAnsi="Times New Roman"/>
              </w:rPr>
            </w:pPr>
            <w:proofErr w:type="gramStart"/>
            <w:r w:rsidRPr="005743A4">
              <w:rPr>
                <w:rFonts w:ascii="Times New Roman" w:hAnsi="Times New Roman"/>
              </w:rPr>
              <w:t>g)</w:t>
            </w:r>
            <w:proofErr w:type="gramEnd"/>
            <w:r w:rsidRPr="005743A4">
              <w:rPr>
                <w:rFonts w:ascii="Times New Roman" w:hAnsi="Times New Roman"/>
              </w:rPr>
              <w:tab/>
              <w:t xml:space="preserve">Responsabilizar-se por quaisquer danos oriundos de suas ações à instituição de </w:t>
            </w:r>
            <w:r w:rsidRPr="005743A4">
              <w:rPr>
                <w:rFonts w:ascii="Times New Roman" w:hAnsi="Times New Roman"/>
              </w:rPr>
              <w:lastRenderedPageBreak/>
              <w:t>destino;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11 - Coordenação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Os responsáveis pela execução do presente Aditivo serão:</w:t>
            </w:r>
          </w:p>
          <w:p w:rsidR="00D11484" w:rsidRPr="005743A4" w:rsidRDefault="00D11484" w:rsidP="005743A4">
            <w:pPr>
              <w:spacing w:after="0" w:line="360" w:lineRule="auto"/>
              <w:jc w:val="both"/>
              <w:rPr>
                <w:rFonts w:ascii="Times New Roman" w:hAnsi="Times New Roman"/>
                <w:highlight w:val="lightGray"/>
              </w:rPr>
            </w:pPr>
            <w:r w:rsidRPr="005743A4">
              <w:rPr>
                <w:rFonts w:ascii="Times New Roman" w:hAnsi="Times New Roman"/>
                <w:highlight w:val="lightGray"/>
              </w:rPr>
              <w:t>(nome e contato do representante da UFABC)</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highlight w:val="lightGray"/>
              </w:rPr>
              <w:t xml:space="preserve">(nome e contato do representante da </w:t>
            </w:r>
            <w:proofErr w:type="spellStart"/>
            <w:r w:rsidRPr="005743A4">
              <w:rPr>
                <w:rFonts w:ascii="Times New Roman" w:hAnsi="Times New Roman"/>
                <w:b/>
                <w:i/>
                <w:highlight w:val="lightGray"/>
              </w:rPr>
              <w:t>University</w:t>
            </w:r>
            <w:proofErr w:type="spellEnd"/>
            <w:r w:rsidRPr="005743A4">
              <w:rPr>
                <w:rFonts w:ascii="Times New Roman" w:hAnsi="Times New Roman"/>
                <w:b/>
                <w:i/>
                <w:highlight w:val="lightGray"/>
              </w:rPr>
              <w:t xml:space="preserve"> nome da universidade</w:t>
            </w:r>
            <w:r w:rsidRPr="005743A4">
              <w:rPr>
                <w:rFonts w:ascii="Times New Roman" w:hAnsi="Times New Roman"/>
                <w:highlight w:val="lightGray"/>
              </w:rPr>
              <w:t>)</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12 - Vigência e litígio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Este Aditivo será válido enquanto o Acordo de Cooperação estiver vigente. Qualquer uma das partes pode denunciá-lo por meio de carta registrada com antecedência mínima de 30 (trinta) dias. Em caso de rescisão deste Aditivo ou do Acordo de Cooperação, as instituições comprometem-se a cumprir as obrigações assumidas com os alunos em mobilidade à época.</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As partes comprometem-se a resolver entre si quaisquer dúvidas, lacunas ou dificuldades de interpretação que possam surgir na aplicação deste Aditivo.</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b/>
              </w:rPr>
            </w:pPr>
            <w:r w:rsidRPr="005743A4">
              <w:rPr>
                <w:rFonts w:ascii="Times New Roman" w:hAnsi="Times New Roman"/>
                <w:b/>
              </w:rPr>
              <w:t>Cláusula 13 – Publicidade</w:t>
            </w:r>
          </w:p>
          <w:p w:rsidR="00D11484" w:rsidRPr="005743A4" w:rsidRDefault="00D11484" w:rsidP="005743A4">
            <w:pPr>
              <w:spacing w:after="0" w:line="360" w:lineRule="auto"/>
              <w:jc w:val="both"/>
              <w:rPr>
                <w:rFonts w:ascii="Times New Roman" w:hAnsi="Times New Roman"/>
                <w:b/>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Será publicado no sítio eletrônico da UFABC, na página da Comissão de Relações Internacionais, extrato do presente Aditivo ao Acordo de Cooperação para fins de atendimento da publicidade inerente aos atos administrativos.</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Este Aditivo ao Acordo de Cooperação será emitido e assinado em português, em duas vias, cujo conteúdo de </w:t>
            </w:r>
            <w:r w:rsidR="00D07EDE">
              <w:rPr>
                <w:rFonts w:ascii="Times New Roman" w:hAnsi="Times New Roman"/>
              </w:rPr>
              <w:t>ambas</w:t>
            </w:r>
            <w:bookmarkStart w:id="0" w:name="_GoBack"/>
            <w:bookmarkEnd w:id="0"/>
            <w:r w:rsidRPr="005743A4">
              <w:rPr>
                <w:rFonts w:ascii="Times New Roman" w:hAnsi="Times New Roman"/>
              </w:rPr>
              <w:t xml:space="preserve"> é idêntico.</w:t>
            </w:r>
          </w:p>
          <w:p w:rsidR="00D11484" w:rsidRPr="005743A4" w:rsidRDefault="00D11484" w:rsidP="005743A4">
            <w:pPr>
              <w:spacing w:after="0" w:line="360" w:lineRule="auto"/>
              <w:jc w:val="both"/>
              <w:rPr>
                <w:rFonts w:ascii="Times New Roman" w:hAnsi="Times New Roman"/>
              </w:rPr>
            </w:pPr>
          </w:p>
          <w:tbl>
            <w:tblPr>
              <w:tblW w:w="0" w:type="auto"/>
              <w:tblLook w:val="04A0" w:firstRow="1" w:lastRow="0" w:firstColumn="1" w:lastColumn="0" w:noHBand="0" w:noVBand="1"/>
            </w:tblPr>
            <w:tblGrid>
              <w:gridCol w:w="4191"/>
              <w:gridCol w:w="4191"/>
            </w:tblGrid>
            <w:tr w:rsidR="00D11484" w:rsidRPr="005743A4" w:rsidTr="00031DDF">
              <w:tc>
                <w:tcPr>
                  <w:tcW w:w="4191" w:type="dxa"/>
                  <w:shd w:val="clear" w:color="auto" w:fill="auto"/>
                </w:tcPr>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Santo André,       de                           </w:t>
                  </w:r>
                  <w:proofErr w:type="gramStart"/>
                  <w:r w:rsidRPr="005743A4">
                    <w:rPr>
                      <w:rFonts w:ascii="Times New Roman" w:hAnsi="Times New Roman"/>
                    </w:rPr>
                    <w:t>201</w:t>
                  </w:r>
                  <w:r w:rsidRPr="005F5AD9">
                    <w:rPr>
                      <w:rFonts w:ascii="Times New Roman" w:hAnsi="Times New Roman"/>
                      <w:shd w:val="clear" w:color="auto" w:fill="BFBFBF"/>
                    </w:rPr>
                    <w:t>x</w:t>
                  </w:r>
                  <w:proofErr w:type="gramEnd"/>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O Reitor da UFABC </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p>
                <w:p w:rsidR="00D11484" w:rsidRPr="00031DDF" w:rsidRDefault="00D11484" w:rsidP="005743A4">
                  <w:pPr>
                    <w:spacing w:after="0" w:line="360" w:lineRule="auto"/>
                    <w:jc w:val="both"/>
                    <w:rPr>
                      <w:rFonts w:ascii="Times New Roman" w:hAnsi="Times New Roman"/>
                      <w:lang w:val="en-US"/>
                    </w:rPr>
                  </w:pPr>
                  <w:r w:rsidRPr="00031DDF">
                    <w:rPr>
                      <w:rFonts w:ascii="Times New Roman" w:hAnsi="Times New Roman"/>
                      <w:lang w:val="en-US"/>
                    </w:rPr>
                    <w:t xml:space="preserve">_______________________________  </w:t>
                  </w:r>
                </w:p>
                <w:p w:rsidR="00D11484" w:rsidRPr="00D07EDE" w:rsidRDefault="00D11484" w:rsidP="005743A4">
                  <w:pPr>
                    <w:spacing w:after="0" w:line="360" w:lineRule="auto"/>
                    <w:jc w:val="both"/>
                    <w:rPr>
                      <w:rFonts w:ascii="Times New Roman" w:hAnsi="Times New Roman"/>
                    </w:rPr>
                  </w:pPr>
                  <w:r w:rsidRPr="00D07EDE">
                    <w:rPr>
                      <w:rFonts w:ascii="Times New Roman" w:hAnsi="Times New Roman"/>
                    </w:rPr>
                    <w:t xml:space="preserve">Prof. Dr. </w:t>
                  </w:r>
                  <w:proofErr w:type="spellStart"/>
                  <w:r w:rsidR="00D07EDE" w:rsidRPr="00D07EDE">
                    <w:rPr>
                      <w:rFonts w:ascii="Times New Roman" w:hAnsi="Times New Roman"/>
                    </w:rPr>
                    <w:t>Dácio</w:t>
                  </w:r>
                  <w:proofErr w:type="spellEnd"/>
                  <w:r w:rsidR="00D07EDE" w:rsidRPr="00D07EDE">
                    <w:rPr>
                      <w:rFonts w:ascii="Times New Roman" w:hAnsi="Times New Roman"/>
                    </w:rPr>
                    <w:t xml:space="preserve"> Roberto Matheus</w:t>
                  </w:r>
                </w:p>
              </w:tc>
              <w:tc>
                <w:tcPr>
                  <w:tcW w:w="4191" w:type="dxa"/>
                  <w:shd w:val="clear" w:color="auto" w:fill="auto"/>
                </w:tcPr>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Local,       de                           201</w:t>
                  </w:r>
                  <w:r w:rsidRPr="005F5AD9">
                    <w:rPr>
                      <w:rFonts w:ascii="Times New Roman" w:hAnsi="Times New Roman"/>
                      <w:shd w:val="clear" w:color="auto" w:fill="BFBFBF"/>
                    </w:rPr>
                    <w:t>x</w:t>
                  </w:r>
                </w:p>
                <w:p w:rsidR="00D11484" w:rsidRPr="005743A4" w:rsidRDefault="00D11484" w:rsidP="005743A4">
                  <w:pPr>
                    <w:spacing w:after="0" w:line="360" w:lineRule="auto"/>
                    <w:jc w:val="both"/>
                    <w:rPr>
                      <w:rFonts w:ascii="Times New Roman" w:hAnsi="Times New Roman"/>
                    </w:rPr>
                  </w:pPr>
                  <w:r w:rsidRPr="005743A4">
                    <w:rPr>
                      <w:rFonts w:ascii="Times New Roman" w:hAnsi="Times New Roman"/>
                    </w:rPr>
                    <w:t xml:space="preserve">O Reitor </w:t>
                  </w:r>
                  <w:proofErr w:type="gramStart"/>
                  <w:r w:rsidRPr="005743A4">
                    <w:rPr>
                      <w:rFonts w:ascii="Times New Roman" w:hAnsi="Times New Roman"/>
                    </w:rPr>
                    <w:t xml:space="preserve">da </w:t>
                  </w:r>
                  <w:r w:rsidRPr="005743A4">
                    <w:rPr>
                      <w:rFonts w:ascii="Times New Roman" w:hAnsi="Times New Roman"/>
                      <w:highlight w:val="lightGray"/>
                    </w:rPr>
                    <w:t>Nome</w:t>
                  </w:r>
                  <w:proofErr w:type="gramEnd"/>
                  <w:r w:rsidRPr="005743A4">
                    <w:rPr>
                      <w:rFonts w:ascii="Times New Roman" w:hAnsi="Times New Roman"/>
                      <w:highlight w:val="lightGray"/>
                    </w:rPr>
                    <w:t xml:space="preserve"> da Universidade</w:t>
                  </w:r>
                  <w:r w:rsidRPr="005743A4">
                    <w:rPr>
                      <w:rFonts w:ascii="Times New Roman" w:hAnsi="Times New Roman"/>
                    </w:rPr>
                    <w:t xml:space="preserve"> </w:t>
                  </w: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rPr>
                  </w:pPr>
                </w:p>
                <w:p w:rsidR="00D11484" w:rsidRPr="005743A4" w:rsidRDefault="00D11484" w:rsidP="005743A4">
                  <w:pPr>
                    <w:spacing w:after="0" w:line="360" w:lineRule="auto"/>
                    <w:jc w:val="both"/>
                    <w:rPr>
                      <w:rFonts w:ascii="Times New Roman" w:hAnsi="Times New Roman"/>
                      <w:lang w:val="en-US"/>
                    </w:rPr>
                  </w:pPr>
                  <w:r w:rsidRPr="005743A4">
                    <w:rPr>
                      <w:rFonts w:ascii="Times New Roman" w:hAnsi="Times New Roman"/>
                      <w:lang w:val="en-US"/>
                    </w:rPr>
                    <w:t xml:space="preserve">_______________________________  </w:t>
                  </w:r>
                </w:p>
                <w:p w:rsidR="00D11484" w:rsidRPr="005743A4" w:rsidRDefault="00D11484" w:rsidP="005743A4">
                  <w:pPr>
                    <w:spacing w:after="0" w:line="360" w:lineRule="auto"/>
                    <w:jc w:val="both"/>
                    <w:rPr>
                      <w:rFonts w:ascii="Times New Roman" w:hAnsi="Times New Roman"/>
                      <w:lang w:val="en-US"/>
                    </w:rPr>
                  </w:pPr>
                  <w:r w:rsidRPr="005743A4">
                    <w:rPr>
                      <w:rFonts w:ascii="Times New Roman" w:hAnsi="Times New Roman"/>
                      <w:lang w:val="en-US"/>
                    </w:rPr>
                    <w:t xml:space="preserve">Prof. Dr. </w:t>
                  </w:r>
                </w:p>
              </w:tc>
            </w:tr>
          </w:tbl>
          <w:p w:rsidR="00D11484" w:rsidRPr="005743A4" w:rsidRDefault="00D11484" w:rsidP="005743A4">
            <w:pPr>
              <w:spacing w:after="0" w:line="360" w:lineRule="auto"/>
              <w:jc w:val="both"/>
              <w:rPr>
                <w:rFonts w:ascii="Times New Roman" w:hAnsi="Times New Roman"/>
                <w:lang w:val="en-US"/>
              </w:rPr>
            </w:pPr>
          </w:p>
        </w:tc>
      </w:tr>
    </w:tbl>
    <w:p w:rsidR="0086002D" w:rsidRPr="00E01EB9" w:rsidRDefault="0086002D" w:rsidP="00E01EB9">
      <w:pPr>
        <w:spacing w:after="0" w:line="360" w:lineRule="auto"/>
        <w:rPr>
          <w:rFonts w:ascii="Times New Roman" w:hAnsi="Times New Roman"/>
          <w:lang w:val="en-US"/>
        </w:rPr>
      </w:pPr>
    </w:p>
    <w:sectPr w:rsidR="0086002D" w:rsidRPr="00E01EB9" w:rsidSect="00031DDF">
      <w:headerReference w:type="default" r:id="rId7"/>
      <w:pgSz w:w="11906" w:h="16838"/>
      <w:pgMar w:top="18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D9" w:rsidRDefault="005F5AD9" w:rsidP="004A7286">
      <w:pPr>
        <w:spacing w:after="0" w:line="240" w:lineRule="auto"/>
      </w:pPr>
      <w:r>
        <w:separator/>
      </w:r>
    </w:p>
  </w:endnote>
  <w:endnote w:type="continuationSeparator" w:id="0">
    <w:p w:rsidR="005F5AD9" w:rsidRDefault="005F5AD9" w:rsidP="004A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D9" w:rsidRDefault="005F5AD9" w:rsidP="004A7286">
      <w:pPr>
        <w:spacing w:after="0" w:line="240" w:lineRule="auto"/>
      </w:pPr>
      <w:r>
        <w:separator/>
      </w:r>
    </w:p>
  </w:footnote>
  <w:footnote w:type="continuationSeparator" w:id="0">
    <w:p w:rsidR="005F5AD9" w:rsidRDefault="005F5AD9" w:rsidP="004A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6" w:rsidRDefault="00CE5DF1" w:rsidP="004A7286">
    <w:pPr>
      <w:pStyle w:val="Cabealho"/>
      <w:jc w:val="center"/>
      <w:rPr>
        <w:noProof/>
        <w:lang w:eastAsia="pt-BR"/>
      </w:rPr>
    </w:pPr>
    <w:r>
      <w:rPr>
        <w:rFonts w:ascii="Times New Roman" w:hAnsi="Times New Roman"/>
        <w:noProof/>
        <w:lang w:eastAsia="pt-BR"/>
      </w:rPr>
      <w:drawing>
        <wp:inline distT="0" distB="0" distL="0" distR="0">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4A7286">
      <w:tab/>
    </w:r>
    <w:r w:rsidR="004A7286">
      <w:tab/>
    </w:r>
    <w:r w:rsidR="004A7286" w:rsidRPr="005743A4">
      <w:rPr>
        <w:noProof/>
        <w:highlight w:val="lightGray"/>
        <w:lang w:eastAsia="pt-BR"/>
      </w:rPr>
      <w:t>Logo da Universidade</w:t>
    </w:r>
  </w:p>
  <w:p w:rsidR="00031DDF" w:rsidRPr="00031DDF" w:rsidRDefault="00031DDF" w:rsidP="004A7286">
    <w:pPr>
      <w:pStyle w:val="Cabealho"/>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02BAB"/>
    <w:rsid w:val="00017136"/>
    <w:rsid w:val="00031DDF"/>
    <w:rsid w:val="000541FB"/>
    <w:rsid w:val="00100BC3"/>
    <w:rsid w:val="00144584"/>
    <w:rsid w:val="00263BD7"/>
    <w:rsid w:val="002D19F2"/>
    <w:rsid w:val="002F2DD4"/>
    <w:rsid w:val="00303071"/>
    <w:rsid w:val="003A37E4"/>
    <w:rsid w:val="003A63FB"/>
    <w:rsid w:val="003C23F2"/>
    <w:rsid w:val="00455A7A"/>
    <w:rsid w:val="004A2055"/>
    <w:rsid w:val="004A7286"/>
    <w:rsid w:val="004E024B"/>
    <w:rsid w:val="005074DA"/>
    <w:rsid w:val="005743A4"/>
    <w:rsid w:val="005F5AD9"/>
    <w:rsid w:val="006171B7"/>
    <w:rsid w:val="006419A4"/>
    <w:rsid w:val="00650045"/>
    <w:rsid w:val="0068706C"/>
    <w:rsid w:val="006B49F5"/>
    <w:rsid w:val="00722133"/>
    <w:rsid w:val="00732674"/>
    <w:rsid w:val="00760917"/>
    <w:rsid w:val="00761697"/>
    <w:rsid w:val="00780767"/>
    <w:rsid w:val="00784984"/>
    <w:rsid w:val="007A2047"/>
    <w:rsid w:val="007C5C04"/>
    <w:rsid w:val="007E5D31"/>
    <w:rsid w:val="008562C5"/>
    <w:rsid w:val="0086002D"/>
    <w:rsid w:val="00880E1A"/>
    <w:rsid w:val="008A2FD5"/>
    <w:rsid w:val="008C2133"/>
    <w:rsid w:val="008D3BD7"/>
    <w:rsid w:val="0090418E"/>
    <w:rsid w:val="0094364E"/>
    <w:rsid w:val="00953989"/>
    <w:rsid w:val="00975034"/>
    <w:rsid w:val="00996B61"/>
    <w:rsid w:val="009F027D"/>
    <w:rsid w:val="00A26888"/>
    <w:rsid w:val="00AA3E17"/>
    <w:rsid w:val="00B22938"/>
    <w:rsid w:val="00B47F8C"/>
    <w:rsid w:val="00BB04A1"/>
    <w:rsid w:val="00BB4745"/>
    <w:rsid w:val="00C04C33"/>
    <w:rsid w:val="00C30032"/>
    <w:rsid w:val="00C364DA"/>
    <w:rsid w:val="00C811AD"/>
    <w:rsid w:val="00C9760D"/>
    <w:rsid w:val="00CB4321"/>
    <w:rsid w:val="00CC7495"/>
    <w:rsid w:val="00CC7F9C"/>
    <w:rsid w:val="00CE5DF1"/>
    <w:rsid w:val="00CF48BF"/>
    <w:rsid w:val="00CF7C69"/>
    <w:rsid w:val="00D0534A"/>
    <w:rsid w:val="00D07EDE"/>
    <w:rsid w:val="00D11484"/>
    <w:rsid w:val="00D77C2D"/>
    <w:rsid w:val="00DF4015"/>
    <w:rsid w:val="00E01EB9"/>
    <w:rsid w:val="00E04192"/>
    <w:rsid w:val="00E63498"/>
    <w:rsid w:val="00EA21DC"/>
    <w:rsid w:val="00EA37A5"/>
    <w:rsid w:val="00F04A1B"/>
    <w:rsid w:val="00F30E49"/>
    <w:rsid w:val="00F61BAF"/>
    <w:rsid w:val="00F76A99"/>
    <w:rsid w:val="00F86DF0"/>
    <w:rsid w:val="00FF1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45"/>
    <w:pPr>
      <w:spacing w:after="200" w:line="276" w:lineRule="auto"/>
    </w:pPr>
    <w:rPr>
      <w:rFonts w:ascii="Calibri" w:hAnsi="Calibri"/>
      <w:sz w:val="22"/>
      <w:szCs w:val="22"/>
      <w:lang w:eastAsia="en-US"/>
    </w:rPr>
  </w:style>
  <w:style w:type="paragraph" w:styleId="Ttulo1">
    <w:name w:val="heading 1"/>
    <w:basedOn w:val="Normal"/>
    <w:link w:val="Ttulo1Char"/>
    <w:uiPriority w:val="9"/>
    <w:qFormat/>
    <w:rsid w:val="00CC7495"/>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4A2055"/>
    <w:pPr>
      <w:ind w:left="720"/>
      <w:contextualSpacing/>
    </w:pPr>
  </w:style>
  <w:style w:type="paragraph" w:styleId="Cabealho">
    <w:name w:val="header"/>
    <w:basedOn w:val="Normal"/>
    <w:link w:val="CabealhoChar"/>
    <w:uiPriority w:val="99"/>
    <w:unhideWhenUsed/>
    <w:rsid w:val="004A7286"/>
    <w:pPr>
      <w:tabs>
        <w:tab w:val="center" w:pos="4252"/>
        <w:tab w:val="right" w:pos="8504"/>
      </w:tabs>
      <w:spacing w:after="0" w:line="240" w:lineRule="auto"/>
    </w:pPr>
  </w:style>
  <w:style w:type="character" w:customStyle="1" w:styleId="CabealhoChar">
    <w:name w:val="Cabeçalho Char"/>
    <w:link w:val="Cabealho"/>
    <w:uiPriority w:val="99"/>
    <w:rsid w:val="004A7286"/>
    <w:rPr>
      <w:rFonts w:ascii="Calibri" w:hAnsi="Calibri"/>
      <w:sz w:val="22"/>
    </w:rPr>
  </w:style>
  <w:style w:type="paragraph" w:styleId="Rodap">
    <w:name w:val="footer"/>
    <w:basedOn w:val="Normal"/>
    <w:link w:val="RodapChar"/>
    <w:uiPriority w:val="99"/>
    <w:unhideWhenUsed/>
    <w:rsid w:val="004A7286"/>
    <w:pPr>
      <w:tabs>
        <w:tab w:val="center" w:pos="4252"/>
        <w:tab w:val="right" w:pos="8504"/>
      </w:tabs>
      <w:spacing w:after="0" w:line="240" w:lineRule="auto"/>
    </w:pPr>
  </w:style>
  <w:style w:type="character" w:customStyle="1" w:styleId="RodapChar">
    <w:name w:val="Rodapé Char"/>
    <w:link w:val="Rodap"/>
    <w:uiPriority w:val="99"/>
    <w:rsid w:val="004A7286"/>
    <w:rPr>
      <w:rFonts w:ascii="Calibri" w:hAnsi="Calibri"/>
      <w:sz w:val="22"/>
    </w:rPr>
  </w:style>
  <w:style w:type="paragraph" w:styleId="Textodebalo">
    <w:name w:val="Balloon Text"/>
    <w:basedOn w:val="Normal"/>
    <w:link w:val="TextodebaloChar"/>
    <w:uiPriority w:val="99"/>
    <w:semiHidden/>
    <w:unhideWhenUsed/>
    <w:rsid w:val="004A728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A7286"/>
    <w:rPr>
      <w:rFonts w:ascii="Tahoma" w:hAnsi="Tahoma" w:cs="Tahoma"/>
      <w:sz w:val="16"/>
      <w:szCs w:val="16"/>
    </w:rPr>
  </w:style>
  <w:style w:type="character" w:customStyle="1" w:styleId="Ttulo1Char">
    <w:name w:val="Título 1 Char"/>
    <w:link w:val="Ttulo1"/>
    <w:uiPriority w:val="9"/>
    <w:rsid w:val="00CC749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Natalia Cardoso Abreu de Araujo</cp:lastModifiedBy>
  <cp:revision>3</cp:revision>
  <cp:lastPrinted>2013-09-06T16:06:00Z</cp:lastPrinted>
  <dcterms:created xsi:type="dcterms:W3CDTF">2018-03-07T17:56:00Z</dcterms:created>
  <dcterms:modified xsi:type="dcterms:W3CDTF">2019-01-22T15:52:00Z</dcterms:modified>
</cp:coreProperties>
</file>